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76" w:lineRule="auto"/>
        <w:ind w:left="420" w:leftChars="200"/>
        <w:rPr>
          <w:rFonts w:hint="eastAsia" w:ascii="仿宋_GB2312" w:eastAsia="仿宋_GB2312" w:cs="宋体"/>
          <w:color w:val="FF0000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zh-CN"/>
        </w:rPr>
        <w:t>注：1.</w:t>
      </w:r>
      <w:r>
        <w:rPr>
          <w:rFonts w:ascii="仿宋_GB2312" w:eastAsia="仿宋_GB2312" w:cs="宋体"/>
          <w:b/>
          <w:color w:val="0000FF"/>
          <w:kern w:val="0"/>
          <w:szCs w:val="21"/>
          <w:lang w:val="zh-CN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质量报告中涉及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的财务数据（如经费、工资）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时间节点均为201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12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日。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教学数据（学生、教师、专业、课程等）按学年计算，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采集时间段为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为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2019年8月1日-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。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其中，各类学生数统计时间截点与基本状态数据采集一致，截止到2020年9月30日，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教学数据中的学生数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不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包括2020届毕业生数，包括2020级新生数。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2</w:t>
      </w:r>
      <w:r>
        <w:rPr>
          <w:rFonts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凡标注“近三年”的项目，统计时间为201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年1月1日—201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年12月31日。请直接填写具体数字，不用填写计量单位。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3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各相关单位需填写表格中</w:t>
      </w:r>
      <w:r>
        <w:rPr>
          <w:rFonts w:hint="eastAsia" w:ascii="仿宋_GB2312" w:eastAsia="仿宋_GB2312" w:cs="宋体"/>
          <w:color w:val="0000FF"/>
          <w:kern w:val="0"/>
          <w:szCs w:val="21"/>
          <w:highlight w:val="yellow"/>
        </w:rPr>
        <w:t>标黄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数据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4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电子版表格请发送至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c</w:t>
      </w:r>
      <w:r>
        <w:rPr>
          <w:rFonts w:ascii="仿宋_GB2312" w:eastAsia="仿宋_GB2312" w:cs="宋体"/>
          <w:color w:val="0000FF"/>
          <w:kern w:val="0"/>
          <w:szCs w:val="21"/>
        </w:rPr>
        <w:t>fxy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jfzx</w:t>
      </w:r>
      <w:r>
        <w:rPr>
          <w:rFonts w:ascii="仿宋_GB2312" w:eastAsia="仿宋_GB2312" w:cs="宋体"/>
          <w:color w:val="0000FF"/>
          <w:kern w:val="0"/>
          <w:szCs w:val="21"/>
        </w:rPr>
        <w:t>@1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63</w:t>
      </w:r>
      <w:r>
        <w:rPr>
          <w:rFonts w:ascii="仿宋_GB2312" w:eastAsia="仿宋_GB2312" w:cs="宋体"/>
          <w:color w:val="0000FF"/>
          <w:kern w:val="0"/>
          <w:szCs w:val="21"/>
        </w:rPr>
        <w:t>.com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，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纸质版表格需签字盖章后送至逸夫理工楼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5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39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室，截止日期为20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年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10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月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8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日。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数据采集责任单位（盖章）：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填报日期：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领导签字：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rPr>
          <w:rFonts w:hint="eastAsia" w:ascii="仿宋_GB2312" w:eastAsia="仿宋_GB2312" w:cs="黑体"/>
          <w:color w:val="auto"/>
          <w:kern w:val="0"/>
          <w:sz w:val="28"/>
          <w:szCs w:val="28"/>
          <w:highlight w:val="none"/>
          <w:lang w:val="zh-CN"/>
        </w:rPr>
      </w:pPr>
      <w:r>
        <w:rPr>
          <w:rFonts w:hint="eastAsia" w:ascii="仿宋_GB2312" w:eastAsia="仿宋_GB2312" w:cs="黑体"/>
          <w:color w:val="auto"/>
          <w:kern w:val="0"/>
          <w:sz w:val="28"/>
          <w:szCs w:val="28"/>
          <w:highlight w:val="none"/>
          <w:lang w:val="zh-CN"/>
        </w:rPr>
        <w:t>附件3-1</w:t>
      </w:r>
    </w:p>
    <w:p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黑体"/>
          <w:b/>
          <w:color w:val="auto"/>
          <w:kern w:val="0"/>
          <w:sz w:val="32"/>
          <w:szCs w:val="32"/>
          <w:highlight w:val="none"/>
          <w:u w:val="single"/>
          <w:lang w:val="zh-CN"/>
        </w:rPr>
        <w:t xml:space="preserve">              </w:t>
      </w:r>
      <w:r>
        <w:rPr>
          <w:rFonts w:hint="eastAsia" w:ascii="宋体" w:cs="黑体"/>
          <w:b/>
          <w:color w:val="auto"/>
          <w:kern w:val="0"/>
          <w:sz w:val="32"/>
          <w:szCs w:val="32"/>
          <w:highlight w:val="none"/>
          <w:lang w:val="zh-CN"/>
        </w:rPr>
        <w:t>大学（学院）本科教学质量报告支撑数据表格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before="240" w:beforeLines="100" w:after="120" w:afterLines="50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  <w:t>本科生占全日制在校生总数的比例</w:t>
      </w:r>
    </w:p>
    <w:p>
      <w:pPr>
        <w:numPr>
          <w:ilvl w:val="0"/>
          <w:numId w:val="1"/>
        </w:numPr>
        <w:tabs>
          <w:tab w:val="center" w:pos="4702"/>
          <w:tab w:val="clear" w:pos="0"/>
        </w:tabs>
        <w:autoSpaceDE w:val="0"/>
        <w:autoSpaceDN w:val="0"/>
        <w:adjustRightInd w:val="0"/>
        <w:spacing w:after="120" w:afterLines="50"/>
        <w:ind w:left="0" w:leftChars="0" w:firstLine="0" w:firstLineChars="0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  <w:t>各专业教师数量及结构</w:t>
      </w:r>
    </w:p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default" w:ascii="宋体" w:eastAsia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  <w:t>1.职称结构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（教务处、人事处）</w:t>
      </w:r>
      <w:r>
        <w:rPr>
          <w:rFonts w:hint="eastAsia" w:ascii="宋体" w:hAnsi="宋体" w:cs="宋体"/>
          <w:b/>
          <w:bCs/>
          <w:color w:val="7030A0"/>
          <w:sz w:val="28"/>
          <w:szCs w:val="28"/>
          <w:highlight w:val="none"/>
          <w:lang w:val="en-US" w:eastAsia="zh-CN"/>
        </w:rPr>
        <w:t>（“专业代码”和“专业名称”栏请与教务处保持一致）</w:t>
      </w:r>
    </w:p>
    <w:tbl>
      <w:tblPr>
        <w:tblStyle w:val="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275"/>
        <w:gridCol w:w="1279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261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序号</w:t>
            </w:r>
          </w:p>
        </w:tc>
        <w:tc>
          <w:tcPr>
            <w:tcW w:w="49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49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专业名称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教授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副教授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讲师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助教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其他正高级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其他副高级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其他中级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其他初级</w:t>
            </w:r>
          </w:p>
        </w:tc>
        <w:tc>
          <w:tcPr>
            <w:tcW w:w="41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未评级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9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9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9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9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pct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总计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default" w:ascii="宋体" w:eastAsia="宋体" w:cs="宋体"/>
          <w:b w:val="0"/>
          <w:bCs/>
          <w:color w:val="7030A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  <w:t>2.学位结构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（教务处、人事处）</w:t>
      </w:r>
      <w:r>
        <w:rPr>
          <w:rFonts w:hint="eastAsia" w:ascii="宋体" w:hAnsi="宋体" w:cs="宋体"/>
          <w:b/>
          <w:bCs/>
          <w:color w:val="7030A0"/>
          <w:sz w:val="28"/>
          <w:szCs w:val="28"/>
          <w:highlight w:val="none"/>
          <w:lang w:val="en-US" w:eastAsia="zh-CN"/>
        </w:rPr>
        <w:t>（“专业代码”和“专业名称”栏请与教务处保持一致）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2670"/>
        <w:gridCol w:w="2199"/>
        <w:gridCol w:w="1845"/>
        <w:gridCol w:w="1845"/>
        <w:gridCol w:w="1847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26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序号</w:t>
            </w:r>
          </w:p>
        </w:tc>
        <w:tc>
          <w:tcPr>
            <w:tcW w:w="10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8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专业名称</w:t>
            </w: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博士</w:t>
            </w: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硕士</w:t>
            </w: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学士</w:t>
            </w: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无学位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10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10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4" w:type="pct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总计</w:t>
            </w: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default" w:ascii="宋体" w:eastAsia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  <w:t>3.年龄结构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（教务处、人事处）</w:t>
      </w:r>
      <w:r>
        <w:rPr>
          <w:rFonts w:hint="eastAsia" w:ascii="宋体" w:hAnsi="宋体" w:cs="宋体"/>
          <w:b/>
          <w:bCs/>
          <w:color w:val="7030A0"/>
          <w:sz w:val="28"/>
          <w:szCs w:val="28"/>
          <w:highlight w:val="none"/>
          <w:lang w:val="en-US" w:eastAsia="zh-CN"/>
        </w:rPr>
        <w:t>（“专业代码”和“专业名称”栏请与教务处保持一致）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2186"/>
        <w:gridCol w:w="2199"/>
        <w:gridCol w:w="1845"/>
        <w:gridCol w:w="1845"/>
        <w:gridCol w:w="1847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序号</w:t>
            </w:r>
          </w:p>
        </w:tc>
        <w:tc>
          <w:tcPr>
            <w:tcW w:w="845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8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专业名称</w:t>
            </w: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35岁及以下</w:t>
            </w: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36-45岁</w:t>
            </w: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46-55岁</w:t>
            </w: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55岁及以上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45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45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4" w:type="pct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总计</w:t>
            </w: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default" w:ascii="宋体" w:eastAsia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  <w:t>4.学缘结构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（教务处、人事处）</w:t>
      </w:r>
      <w:r>
        <w:rPr>
          <w:rFonts w:hint="eastAsia" w:ascii="宋体" w:hAnsi="宋体" w:cs="宋体"/>
          <w:b/>
          <w:bCs/>
          <w:color w:val="7030A0"/>
          <w:sz w:val="28"/>
          <w:szCs w:val="28"/>
          <w:highlight w:val="none"/>
          <w:lang w:val="en-US" w:eastAsia="zh-CN"/>
        </w:rPr>
        <w:t>（“专业代码”和“专业名称”栏请与教务处保持一致）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2551"/>
        <w:gridCol w:w="2564"/>
        <w:gridCol w:w="2152"/>
        <w:gridCol w:w="2152"/>
        <w:gridCol w:w="2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21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序号</w:t>
            </w:r>
          </w:p>
        </w:tc>
        <w:tc>
          <w:tcPr>
            <w:tcW w:w="986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990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专业名称</w:t>
            </w:r>
          </w:p>
        </w:tc>
        <w:tc>
          <w:tcPr>
            <w:tcW w:w="83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本校</w:t>
            </w:r>
          </w:p>
        </w:tc>
        <w:tc>
          <w:tcPr>
            <w:tcW w:w="1669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外校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21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</w:pPr>
          </w:p>
        </w:tc>
        <w:tc>
          <w:tcPr>
            <w:tcW w:w="990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</w:pPr>
          </w:p>
        </w:tc>
        <w:tc>
          <w:tcPr>
            <w:tcW w:w="83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color w:val="auto"/>
                <w:highlight w:val="yellow"/>
              </w:rPr>
            </w:pP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境内</w:t>
            </w:r>
          </w:p>
        </w:tc>
        <w:tc>
          <w:tcPr>
            <w:tcW w:w="83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境外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8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90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8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90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8" w:type="pct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总计</w:t>
            </w: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120" w:beforeLines="50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</w:pPr>
    </w:p>
    <w:p>
      <w:pPr>
        <w:autoSpaceDE w:val="0"/>
        <w:autoSpaceDN w:val="0"/>
        <w:adjustRightInd w:val="0"/>
        <w:spacing w:before="120" w:beforeLines="50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  <w:t>三、本科专业设置情况</w:t>
      </w:r>
    </w:p>
    <w:p>
      <w:pPr>
        <w:autoSpaceDE w:val="0"/>
        <w:autoSpaceDN w:val="0"/>
        <w:adjustRightInd w:val="0"/>
        <w:spacing w:before="120" w:beforeLines="50"/>
        <w:rPr>
          <w:rFonts w:hint="eastAsia" w:ascii="宋体" w:cs="宋体"/>
          <w:b/>
          <w:kern w:val="0"/>
          <w:sz w:val="20"/>
          <w:szCs w:val="20"/>
          <w:lang w:val="zh-CN"/>
        </w:rPr>
      </w:pPr>
      <w:r>
        <w:rPr>
          <w:rFonts w:hint="eastAsia" w:ascii="宋体" w:cs="宋体"/>
          <w:b/>
          <w:kern w:val="0"/>
          <w:sz w:val="20"/>
          <w:szCs w:val="20"/>
          <w:lang w:val="zh-CN"/>
        </w:rPr>
        <w:t>1. 现设本科专业情况（不含蒙古语授课本科专业）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（教务处、人事处）</w:t>
      </w:r>
      <w:r>
        <w:rPr>
          <w:rFonts w:hint="eastAsia" w:ascii="宋体" w:hAnsi="宋体" w:cs="宋体"/>
          <w:b/>
          <w:bCs/>
          <w:color w:val="7030A0"/>
          <w:sz w:val="28"/>
          <w:szCs w:val="28"/>
          <w:highlight w:val="none"/>
          <w:lang w:val="en-US" w:eastAsia="zh-CN"/>
        </w:rPr>
        <w:t>（“专业代码”和“专业名称”栏请与教务处保持一致）</w:t>
      </w:r>
    </w:p>
    <w:tbl>
      <w:tblPr>
        <w:tblStyle w:val="3"/>
        <w:tblW w:w="1320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310"/>
        <w:gridCol w:w="928"/>
        <w:gridCol w:w="2124"/>
        <w:gridCol w:w="993"/>
        <w:gridCol w:w="993"/>
        <w:gridCol w:w="708"/>
        <w:gridCol w:w="709"/>
        <w:gridCol w:w="709"/>
        <w:gridCol w:w="709"/>
        <w:gridCol w:w="829"/>
        <w:gridCol w:w="732"/>
        <w:gridCol w:w="851"/>
        <w:gridCol w:w="1133"/>
        <w:gridCol w:w="14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454" w:hRule="atLeast"/>
          <w:jc w:val="center"/>
        </w:trPr>
        <w:tc>
          <w:tcPr>
            <w:tcW w:w="310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序号</w:t>
            </w:r>
          </w:p>
        </w:tc>
        <w:tc>
          <w:tcPr>
            <w:tcW w:w="928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专业代码</w:t>
            </w:r>
          </w:p>
        </w:tc>
        <w:tc>
          <w:tcPr>
            <w:tcW w:w="2124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专业名称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授予学位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首届招生时间</w:t>
            </w:r>
          </w:p>
        </w:tc>
        <w:tc>
          <w:tcPr>
            <w:tcW w:w="3664" w:type="dxa"/>
            <w:gridSpan w:val="5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学生情况</w:t>
            </w:r>
          </w:p>
        </w:tc>
        <w:tc>
          <w:tcPr>
            <w:tcW w:w="4195" w:type="dxa"/>
            <w:gridSpan w:val="4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专任教师情况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396" w:hRule="atLeast"/>
          <w:jc w:val="center"/>
        </w:trPr>
        <w:tc>
          <w:tcPr>
            <w:tcW w:w="310" w:type="dxa"/>
            <w:vMerge w:val="continue"/>
            <w:shd w:val="clear" w:color="000000" w:fill="FFFFFF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928" w:type="dxa"/>
            <w:vMerge w:val="continue"/>
            <w:shd w:val="clear" w:color="000000" w:fill="FFFFFF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124" w:type="dxa"/>
            <w:vMerge w:val="continue"/>
            <w:shd w:val="clear" w:color="000000" w:fill="FFFFFF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993" w:type="dxa"/>
            <w:vMerge w:val="continue"/>
            <w:shd w:val="clear" w:color="000000" w:fill="FFFFFF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993" w:type="dxa"/>
            <w:vMerge w:val="continue"/>
            <w:shd w:val="clear" w:color="000000" w:fill="FFFFFF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08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在校生人数</w:t>
            </w:r>
          </w:p>
        </w:tc>
        <w:tc>
          <w:tcPr>
            <w:tcW w:w="2956" w:type="dxa"/>
            <w:gridSpan w:val="4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201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 w:eastAsia="zh-CN"/>
              </w:rPr>
              <w:t>-20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20学年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招生情况</w:t>
            </w:r>
          </w:p>
        </w:tc>
        <w:tc>
          <w:tcPr>
            <w:tcW w:w="732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专任教师总数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教授人数</w:t>
            </w:r>
          </w:p>
        </w:tc>
        <w:tc>
          <w:tcPr>
            <w:tcW w:w="1133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具有博士学位教师人数</w:t>
            </w:r>
          </w:p>
        </w:tc>
        <w:tc>
          <w:tcPr>
            <w:tcW w:w="1479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具有连续三个月及以上海外研修经历教师人数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455" w:hRule="atLeast"/>
          <w:jc w:val="center"/>
        </w:trPr>
        <w:tc>
          <w:tcPr>
            <w:tcW w:w="310" w:type="dxa"/>
            <w:vMerge w:val="continue"/>
            <w:shd w:val="clear" w:color="000000" w:fill="FFFFFF"/>
            <w:vAlign w:val="center"/>
          </w:tcPr>
          <w:p/>
        </w:tc>
        <w:tc>
          <w:tcPr>
            <w:tcW w:w="928" w:type="dxa"/>
            <w:vMerge w:val="continue"/>
            <w:shd w:val="clear" w:color="000000" w:fill="FFFFFF"/>
            <w:vAlign w:val="center"/>
          </w:tcPr>
          <w:p/>
        </w:tc>
        <w:tc>
          <w:tcPr>
            <w:tcW w:w="2124" w:type="dxa"/>
            <w:vMerge w:val="continue"/>
            <w:shd w:val="clear" w:color="000000" w:fill="FFFFFF"/>
            <w:vAlign w:val="center"/>
          </w:tcPr>
          <w:p/>
        </w:tc>
        <w:tc>
          <w:tcPr>
            <w:tcW w:w="993" w:type="dxa"/>
            <w:vMerge w:val="continue"/>
            <w:shd w:val="clear" w:color="000000" w:fill="FFFFFF"/>
            <w:vAlign w:val="center"/>
          </w:tcPr>
          <w:p/>
        </w:tc>
        <w:tc>
          <w:tcPr>
            <w:tcW w:w="993" w:type="dxa"/>
            <w:vMerge w:val="continue"/>
            <w:shd w:val="clear" w:color="000000" w:fill="FFFFFF"/>
            <w:vAlign w:val="center"/>
          </w:tcPr>
          <w:p/>
        </w:tc>
        <w:tc>
          <w:tcPr>
            <w:tcW w:w="708" w:type="dxa"/>
            <w:vMerge w:val="continue"/>
            <w:shd w:val="clear" w:color="000000" w:fill="FFFFFF"/>
            <w:vAlign w:val="center"/>
          </w:tcPr>
          <w:p/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区内招生人数</w:t>
            </w: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16"/>
                <w:szCs w:val="18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区内录取批次</w:t>
            </w: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区外招生人数</w:t>
            </w:r>
          </w:p>
        </w:tc>
        <w:tc>
          <w:tcPr>
            <w:tcW w:w="82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区外主要录取批次</w:t>
            </w:r>
          </w:p>
        </w:tc>
        <w:tc>
          <w:tcPr>
            <w:tcW w:w="732" w:type="dxa"/>
            <w:vMerge w:val="continue"/>
            <w:shd w:val="clear" w:color="000000" w:fill="FFFFFF"/>
            <w:vAlign w:val="center"/>
          </w:tcPr>
          <w:p/>
        </w:tc>
        <w:tc>
          <w:tcPr>
            <w:tcW w:w="851" w:type="dxa"/>
            <w:vMerge w:val="continue"/>
            <w:shd w:val="clear" w:color="000000" w:fill="FFFFFF"/>
            <w:vAlign w:val="center"/>
          </w:tcPr>
          <w:p/>
        </w:tc>
        <w:tc>
          <w:tcPr>
            <w:tcW w:w="1133" w:type="dxa"/>
            <w:vMerge w:val="continue"/>
            <w:shd w:val="clear" w:color="000000" w:fill="FFFFFF"/>
            <w:vAlign w:val="center"/>
          </w:tcPr>
          <w:p/>
        </w:tc>
        <w:tc>
          <w:tcPr>
            <w:tcW w:w="1479" w:type="dxa"/>
            <w:vMerge w:val="continue"/>
            <w:shd w:val="clear" w:color="000000" w:fill="FFFFFF"/>
            <w:vAlign w:val="center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7" w:hRule="exact"/>
          <w:jc w:val="center"/>
        </w:trPr>
        <w:tc>
          <w:tcPr>
            <w:tcW w:w="310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92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212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例:2010/08</w:t>
            </w:r>
          </w:p>
        </w:tc>
        <w:tc>
          <w:tcPr>
            <w:tcW w:w="70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82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3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133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47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120" w:beforeLines="50"/>
        <w:rPr>
          <w:rFonts w:hint="eastAsia" w:ascii="宋体" w:cs="宋体"/>
          <w:b/>
          <w:kern w:val="0"/>
          <w:sz w:val="20"/>
          <w:szCs w:val="20"/>
          <w:lang w:val="zh-CN"/>
        </w:rPr>
      </w:pPr>
      <w:r>
        <w:rPr>
          <w:rFonts w:hint="eastAsia" w:ascii="宋体" w:cs="宋体"/>
          <w:b/>
          <w:kern w:val="0"/>
          <w:sz w:val="20"/>
          <w:szCs w:val="20"/>
          <w:lang w:val="zh-CN"/>
        </w:rPr>
        <w:t>2. 现设蒙古语授课本科专业情况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（教务处、人事处）</w:t>
      </w:r>
      <w:r>
        <w:rPr>
          <w:rFonts w:hint="eastAsia" w:ascii="宋体" w:hAnsi="宋体" w:cs="宋体"/>
          <w:b/>
          <w:bCs/>
          <w:color w:val="7030A0"/>
          <w:sz w:val="28"/>
          <w:szCs w:val="28"/>
          <w:highlight w:val="none"/>
          <w:lang w:val="en-US" w:eastAsia="zh-CN"/>
        </w:rPr>
        <w:t>（“专业代码”和“专业名称”栏请与教务处保持一致）</w:t>
      </w:r>
    </w:p>
    <w:tbl>
      <w:tblPr>
        <w:tblStyle w:val="3"/>
        <w:tblW w:w="1320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310"/>
        <w:gridCol w:w="928"/>
        <w:gridCol w:w="2124"/>
        <w:gridCol w:w="993"/>
        <w:gridCol w:w="993"/>
        <w:gridCol w:w="708"/>
        <w:gridCol w:w="709"/>
        <w:gridCol w:w="710"/>
        <w:gridCol w:w="709"/>
        <w:gridCol w:w="814"/>
        <w:gridCol w:w="747"/>
        <w:gridCol w:w="851"/>
        <w:gridCol w:w="1133"/>
        <w:gridCol w:w="14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454" w:hRule="atLeast"/>
          <w:jc w:val="center"/>
        </w:trPr>
        <w:tc>
          <w:tcPr>
            <w:tcW w:w="310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序号</w:t>
            </w:r>
          </w:p>
        </w:tc>
        <w:tc>
          <w:tcPr>
            <w:tcW w:w="928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专业代码</w:t>
            </w:r>
          </w:p>
        </w:tc>
        <w:tc>
          <w:tcPr>
            <w:tcW w:w="2124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专业名称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授予学位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首届招生时间</w:t>
            </w:r>
          </w:p>
        </w:tc>
        <w:tc>
          <w:tcPr>
            <w:tcW w:w="3650" w:type="dxa"/>
            <w:gridSpan w:val="5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学生情况</w:t>
            </w:r>
          </w:p>
        </w:tc>
        <w:tc>
          <w:tcPr>
            <w:tcW w:w="4210" w:type="dxa"/>
            <w:gridSpan w:val="4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专任教师情况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396" w:hRule="atLeast"/>
          <w:jc w:val="center"/>
        </w:trPr>
        <w:tc>
          <w:tcPr>
            <w:tcW w:w="310" w:type="dxa"/>
            <w:vMerge w:val="continue"/>
            <w:shd w:val="clear" w:color="000000" w:fill="FFFFFF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928" w:type="dxa"/>
            <w:vMerge w:val="continue"/>
            <w:shd w:val="clear" w:color="000000" w:fill="FFFFFF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124" w:type="dxa"/>
            <w:vMerge w:val="continue"/>
            <w:shd w:val="clear" w:color="000000" w:fill="FFFFFF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993" w:type="dxa"/>
            <w:vMerge w:val="continue"/>
            <w:shd w:val="clear" w:color="000000" w:fill="FFFFFF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993" w:type="dxa"/>
            <w:vMerge w:val="continue"/>
            <w:shd w:val="clear" w:color="000000" w:fill="FFFFFF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708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在校生人数</w:t>
            </w:r>
          </w:p>
        </w:tc>
        <w:tc>
          <w:tcPr>
            <w:tcW w:w="2942" w:type="dxa"/>
            <w:gridSpan w:val="4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201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 w:eastAsia="zh-CN"/>
              </w:rPr>
              <w:t>-20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20学年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none"/>
                <w:lang w:val="zh-CN"/>
              </w:rPr>
              <w:t>招生情况</w:t>
            </w:r>
          </w:p>
        </w:tc>
        <w:tc>
          <w:tcPr>
            <w:tcW w:w="747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专任教师总数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教授人数</w:t>
            </w:r>
          </w:p>
        </w:tc>
        <w:tc>
          <w:tcPr>
            <w:tcW w:w="1133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具有博士学位教师人数</w:t>
            </w:r>
          </w:p>
        </w:tc>
        <w:tc>
          <w:tcPr>
            <w:tcW w:w="1479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具有连续三个月及以上海外研修经历教师人数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393" w:hRule="atLeast"/>
          <w:jc w:val="center"/>
        </w:trPr>
        <w:tc>
          <w:tcPr>
            <w:tcW w:w="310" w:type="dxa"/>
            <w:vMerge w:val="continue"/>
            <w:shd w:val="clear" w:color="000000" w:fill="FFFFFF"/>
            <w:vAlign w:val="center"/>
          </w:tcPr>
          <w:p/>
        </w:tc>
        <w:tc>
          <w:tcPr>
            <w:tcW w:w="928" w:type="dxa"/>
            <w:vMerge w:val="continue"/>
            <w:shd w:val="clear" w:color="000000" w:fill="FFFFFF"/>
            <w:vAlign w:val="center"/>
          </w:tcPr>
          <w:p/>
        </w:tc>
        <w:tc>
          <w:tcPr>
            <w:tcW w:w="2124" w:type="dxa"/>
            <w:vMerge w:val="continue"/>
            <w:shd w:val="clear" w:color="000000" w:fill="FFFFFF"/>
            <w:vAlign w:val="center"/>
          </w:tcPr>
          <w:p/>
        </w:tc>
        <w:tc>
          <w:tcPr>
            <w:tcW w:w="993" w:type="dxa"/>
            <w:vMerge w:val="continue"/>
            <w:shd w:val="clear" w:color="000000" w:fill="FFFFFF"/>
            <w:vAlign w:val="center"/>
          </w:tcPr>
          <w:p/>
        </w:tc>
        <w:tc>
          <w:tcPr>
            <w:tcW w:w="993" w:type="dxa"/>
            <w:vMerge w:val="continue"/>
            <w:shd w:val="clear" w:color="000000" w:fill="FFFFFF"/>
            <w:vAlign w:val="center"/>
          </w:tcPr>
          <w:p/>
        </w:tc>
        <w:tc>
          <w:tcPr>
            <w:tcW w:w="708" w:type="dxa"/>
            <w:vMerge w:val="continue"/>
            <w:shd w:val="clear" w:color="000000" w:fill="FFFFFF"/>
            <w:vAlign w:val="center"/>
          </w:tcPr>
          <w:p/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区内招生人数</w:t>
            </w:r>
          </w:p>
        </w:tc>
        <w:tc>
          <w:tcPr>
            <w:tcW w:w="710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区内录取批次</w:t>
            </w: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区外招生人数</w:t>
            </w:r>
          </w:p>
        </w:tc>
        <w:tc>
          <w:tcPr>
            <w:tcW w:w="81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区外主要录取批次</w:t>
            </w:r>
          </w:p>
        </w:tc>
        <w:tc>
          <w:tcPr>
            <w:tcW w:w="747" w:type="dxa"/>
            <w:vMerge w:val="continue"/>
            <w:shd w:val="clear" w:color="000000" w:fill="FFFFFF"/>
            <w:vAlign w:val="center"/>
          </w:tcPr>
          <w:p/>
        </w:tc>
        <w:tc>
          <w:tcPr>
            <w:tcW w:w="851" w:type="dxa"/>
            <w:vMerge w:val="continue"/>
            <w:shd w:val="clear" w:color="000000" w:fill="FFFFFF"/>
            <w:vAlign w:val="center"/>
          </w:tcPr>
          <w:p/>
        </w:tc>
        <w:tc>
          <w:tcPr>
            <w:tcW w:w="1133" w:type="dxa"/>
            <w:vMerge w:val="continue"/>
            <w:shd w:val="clear" w:color="000000" w:fill="FFFFFF"/>
            <w:vAlign w:val="center"/>
          </w:tcPr>
          <w:p/>
        </w:tc>
        <w:tc>
          <w:tcPr>
            <w:tcW w:w="1479" w:type="dxa"/>
            <w:vMerge w:val="continue"/>
            <w:shd w:val="clear" w:color="000000" w:fill="FFFFFF"/>
            <w:vAlign w:val="center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7" w:hRule="exact"/>
          <w:jc w:val="center"/>
        </w:trPr>
        <w:tc>
          <w:tcPr>
            <w:tcW w:w="310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92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212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例:2010/08</w:t>
            </w:r>
          </w:p>
        </w:tc>
        <w:tc>
          <w:tcPr>
            <w:tcW w:w="70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81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47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133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47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</w:tr>
    </w:tbl>
    <w:p>
      <w:pPr>
        <w:rPr>
          <w:color w:val="auto"/>
          <w:sz w:val="20"/>
          <w:szCs w:val="20"/>
          <w:highlight w:val="none"/>
        </w:rPr>
      </w:pPr>
    </w:p>
    <w:p>
      <w:pPr>
        <w:numPr>
          <w:ilvl w:val="0"/>
          <w:numId w:val="2"/>
        </w:numPr>
        <w:autoSpaceDE w:val="0"/>
        <w:autoSpaceDN w:val="0"/>
        <w:adjustRightInd w:val="0"/>
        <w:spacing w:before="240" w:beforeLines="100"/>
        <w:ind w:firstLine="201" w:firstLineChar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生师比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rPr>
          <w:rFonts w:hint="default" w:ascii="宋体" w:cs="宋体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  <w:t>1.生师比整体情况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（教务处、人事处）</w:t>
      </w:r>
    </w:p>
    <w:tbl>
      <w:tblPr>
        <w:tblStyle w:val="3"/>
        <w:tblW w:w="492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1441"/>
        <w:gridCol w:w="1074"/>
        <w:gridCol w:w="1074"/>
        <w:gridCol w:w="1056"/>
        <w:gridCol w:w="1056"/>
        <w:gridCol w:w="1056"/>
        <w:gridCol w:w="1102"/>
        <w:gridCol w:w="1056"/>
        <w:gridCol w:w="1069"/>
        <w:gridCol w:w="893"/>
        <w:gridCol w:w="10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28" w:type="pct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  年</w:t>
            </w:r>
          </w:p>
        </w:tc>
        <w:tc>
          <w:tcPr>
            <w:tcW w:w="565" w:type="pct"/>
            <w:vMerge w:val="restart"/>
            <w:tcBorders>
              <w:top w:val="single" w:color="auto" w:sz="8" w:space="0"/>
              <w:left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折合在校生数</w:t>
            </w:r>
          </w:p>
        </w:tc>
        <w:tc>
          <w:tcPr>
            <w:tcW w:w="2516" w:type="pct"/>
            <w:gridSpan w:val="6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专任教师数</w:t>
            </w:r>
          </w:p>
        </w:tc>
        <w:tc>
          <w:tcPr>
            <w:tcW w:w="833" w:type="pct"/>
            <w:gridSpan w:val="2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外聘教师数</w:t>
            </w:r>
          </w:p>
        </w:tc>
        <w:tc>
          <w:tcPr>
            <w:tcW w:w="350" w:type="pct"/>
            <w:vMerge w:val="restart"/>
            <w:tcBorders>
              <w:top w:val="single" w:color="auto" w:sz="8" w:space="0"/>
              <w:left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教师总数</w:t>
            </w:r>
          </w:p>
        </w:tc>
        <w:tc>
          <w:tcPr>
            <w:tcW w:w="406" w:type="pct"/>
            <w:vMerge w:val="restart"/>
            <w:tcBorders>
              <w:top w:val="single" w:color="auto" w:sz="8" w:space="0"/>
              <w:left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生师比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328" w:type="pct"/>
            <w:vMerge w:val="continue"/>
            <w:tcBorders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65" w:type="pct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2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总计</w:t>
            </w:r>
          </w:p>
        </w:tc>
        <w:tc>
          <w:tcPr>
            <w:tcW w:w="42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具有硕士学位</w:t>
            </w: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具有博士学位</w:t>
            </w: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双师型</w:t>
            </w: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具有工程背景</w:t>
            </w:r>
          </w:p>
        </w:tc>
        <w:tc>
          <w:tcPr>
            <w:tcW w:w="4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具有行业背景</w:t>
            </w: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总计</w:t>
            </w:r>
          </w:p>
        </w:tc>
        <w:tc>
          <w:tcPr>
            <w:tcW w:w="41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其中：境外教师</w:t>
            </w:r>
          </w:p>
        </w:tc>
        <w:tc>
          <w:tcPr>
            <w:tcW w:w="350" w:type="pct"/>
            <w:vMerge w:val="continue"/>
            <w:tcBorders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06" w:type="pct"/>
            <w:vMerge w:val="continue"/>
            <w:tcBorders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28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6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2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2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3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19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50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06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120" w:beforeLines="50"/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  <w:t>2.各专业生师比情况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（教务处、人事处）</w:t>
      </w:r>
      <w:r>
        <w:rPr>
          <w:rFonts w:hint="eastAsia" w:ascii="宋体" w:hAnsi="宋体" w:cs="宋体"/>
          <w:b/>
          <w:bCs/>
          <w:color w:val="7030A0"/>
          <w:sz w:val="28"/>
          <w:szCs w:val="28"/>
          <w:highlight w:val="none"/>
          <w:lang w:val="en-US" w:eastAsia="zh-CN"/>
        </w:rPr>
        <w:t>（“专业代码”和“专业名称”栏请与教务处保持一致）</w:t>
      </w:r>
    </w:p>
    <w:tbl>
      <w:tblPr>
        <w:tblStyle w:val="3"/>
        <w:tblW w:w="490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2092"/>
        <w:gridCol w:w="2092"/>
        <w:gridCol w:w="1554"/>
        <w:gridCol w:w="1554"/>
        <w:gridCol w:w="1529"/>
        <w:gridCol w:w="1529"/>
        <w:gridCol w:w="12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13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序 号</w:t>
            </w:r>
          </w:p>
        </w:tc>
        <w:tc>
          <w:tcPr>
            <w:tcW w:w="82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82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专业名称</w:t>
            </w:r>
          </w:p>
        </w:tc>
        <w:tc>
          <w:tcPr>
            <w:tcW w:w="61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分专业在校本科生数</w:t>
            </w:r>
          </w:p>
        </w:tc>
        <w:tc>
          <w:tcPr>
            <w:tcW w:w="61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专任教师数</w:t>
            </w:r>
          </w:p>
        </w:tc>
        <w:tc>
          <w:tcPr>
            <w:tcW w:w="60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外聘教师数</w:t>
            </w:r>
          </w:p>
        </w:tc>
        <w:tc>
          <w:tcPr>
            <w:tcW w:w="60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分专业教师总数</w:t>
            </w:r>
          </w:p>
        </w:tc>
        <w:tc>
          <w:tcPr>
            <w:tcW w:w="506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专业生师比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3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2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2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1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1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0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0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06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十一、主讲本科课程的教授占教授总数的比例</w:t>
      </w:r>
      <w:r>
        <w:rPr>
          <w:rFonts w:hint="eastAsia" w:ascii="宋体" w:cs="宋体"/>
          <w:b w:val="0"/>
          <w:bCs w:val="0"/>
          <w:color w:val="auto"/>
          <w:kern w:val="0"/>
          <w:sz w:val="20"/>
          <w:szCs w:val="20"/>
          <w:highlight w:val="none"/>
          <w:lang w:val="zh-CN"/>
        </w:rPr>
        <w:t>（不含副教授、外聘教授）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ind w:leftChars="100"/>
        <w:rPr>
          <w:rFonts w:hint="default" w:ascii="宋体" w:eastAsia="宋体" w:cs="宋体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  <w:t>1.整体情况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（教务处、人事处）</w:t>
      </w:r>
    </w:p>
    <w:tbl>
      <w:tblPr>
        <w:tblStyle w:val="3"/>
        <w:tblW w:w="4915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87"/>
        <w:gridCol w:w="3226"/>
        <w:gridCol w:w="2479"/>
        <w:gridCol w:w="2476"/>
        <w:gridCol w:w="21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873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  年</w:t>
            </w:r>
          </w:p>
        </w:tc>
        <w:tc>
          <w:tcPr>
            <w:tcW w:w="128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教授总数</w:t>
            </w:r>
          </w:p>
        </w:tc>
        <w:tc>
          <w:tcPr>
            <w:tcW w:w="989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教授应授课人数</w:t>
            </w:r>
          </w:p>
        </w:tc>
        <w:tc>
          <w:tcPr>
            <w:tcW w:w="988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教授实际授课人数</w:t>
            </w:r>
          </w:p>
        </w:tc>
        <w:tc>
          <w:tcPr>
            <w:tcW w:w="860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所占比例（%）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873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2019-2020</w:t>
            </w:r>
          </w:p>
        </w:tc>
        <w:tc>
          <w:tcPr>
            <w:tcW w:w="128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989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98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60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numPr>
          <w:ilvl w:val="0"/>
          <w:numId w:val="3"/>
        </w:numPr>
        <w:autoSpaceDE w:val="0"/>
        <w:autoSpaceDN w:val="0"/>
        <w:adjustRightInd w:val="0"/>
        <w:spacing w:before="240" w:beforeLines="100"/>
        <w:ind w:firstLine="200" w:firstLineChars="100"/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  <w:t>分专业情况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tbl>
      <w:tblPr>
        <w:tblStyle w:val="3"/>
        <w:tblW w:w="483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2400"/>
        <w:gridCol w:w="2012"/>
        <w:gridCol w:w="1771"/>
        <w:gridCol w:w="1746"/>
        <w:gridCol w:w="1746"/>
        <w:gridCol w:w="15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18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序 号</w:t>
            </w:r>
          </w:p>
        </w:tc>
        <w:tc>
          <w:tcPr>
            <w:tcW w:w="958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80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专业名称</w:t>
            </w:r>
          </w:p>
        </w:tc>
        <w:tc>
          <w:tcPr>
            <w:tcW w:w="70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教授总数</w:t>
            </w:r>
          </w:p>
        </w:tc>
        <w:tc>
          <w:tcPr>
            <w:tcW w:w="69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教授应授课人数</w:t>
            </w:r>
          </w:p>
        </w:tc>
        <w:tc>
          <w:tcPr>
            <w:tcW w:w="69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教授实际授课人数</w:t>
            </w:r>
          </w:p>
        </w:tc>
        <w:tc>
          <w:tcPr>
            <w:tcW w:w="616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所占比例（%）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18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95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0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0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9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9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16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line="360" w:lineRule="auto"/>
        <w:ind w:firstLine="455" w:firstLineChars="216"/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</w:pPr>
      <w:r>
        <w:rPr>
          <w:rFonts w:hint="eastAsia" w:ascii="仿宋_GB2312" w:eastAsia="仿宋_GB2312" w:cs="宋体"/>
          <w:b/>
          <w:color w:val="auto"/>
          <w:kern w:val="0"/>
          <w:szCs w:val="21"/>
          <w:highlight w:val="none"/>
          <w:lang w:val="zh-CN"/>
        </w:rPr>
        <w:t>注：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质量报告中涉及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的财务数据（如经费、工资）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时间节点均为201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9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年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12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月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31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日；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教学数据（学生、教师、专业、课程等）按学年计算，为2019年8月1日至2020年7月31日。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数据的计算方法参照《教育部关于印发〈普通高等学校基本办学条件指标（试行）〉的通知》（教发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〔2004〕2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号文件）以及《教育部办公厅关于开展普通高等学校本科教学工作合格评估的通知》（教高厅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〔2011〕2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号文件）。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cs="宋体"/>
          <w:color w:val="auto"/>
          <w:kern w:val="0"/>
          <w:szCs w:val="21"/>
          <w:highlight w:val="none"/>
          <w:lang w:val="zh-CN"/>
        </w:rPr>
        <w:sectPr>
          <w:footerReference r:id="rId3" w:type="default"/>
          <w:pgSz w:w="15840" w:h="12240" w:orient="landscape"/>
          <w:pgMar w:top="1701" w:right="1701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>
      <w:pPr>
        <w:rPr>
          <w:rFonts w:hint="eastAsia" w:ascii="楷体_GB2312" w:eastAsia="楷体_GB2312"/>
          <w:color w:val="auto"/>
          <w:sz w:val="28"/>
          <w:szCs w:val="28"/>
          <w:highlight w:val="none"/>
        </w:rPr>
      </w:pPr>
      <w:r>
        <w:rPr>
          <w:rFonts w:hint="eastAsia" w:ascii="楷体_GB2312" w:eastAsia="楷体_GB2312" w:cs="宋体"/>
          <w:color w:val="auto"/>
          <w:kern w:val="0"/>
          <w:sz w:val="28"/>
          <w:szCs w:val="28"/>
          <w:highlight w:val="none"/>
          <w:lang w:val="zh-CN"/>
        </w:rPr>
        <w:t>附件3-2</w:t>
      </w:r>
    </w:p>
    <w:p>
      <w:pPr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t>本科教学质量报告支撑数据表格填写说明</w:t>
      </w:r>
    </w:p>
    <w:tbl>
      <w:tblPr>
        <w:tblStyle w:val="3"/>
        <w:tblW w:w="92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560"/>
        <w:gridCol w:w="645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  <w:t>对应表序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  <w:t>数据名称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  <w:t>数据内涵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表一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  <w:t>全日制      在校生数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  <w:t>全日制在校生数=本科生数</w:t>
            </w:r>
            <w:r>
              <w:rPr>
                <w:rFonts w:hint="eastAsia" w:ascii="宋体"/>
                <w:color w:val="auto"/>
                <w:szCs w:val="21"/>
                <w:highlight w:val="none"/>
                <w:lang w:val="en-US" w:eastAsia="zh-CN"/>
              </w:rPr>
              <w:t>+普通（高职）专科生数+全日制硕士研究生（含留学生）+全日制博士研究生（含留学生）+预科阶段学生数+进修生数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本科生数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普通本科生（含预科已转段的本科生）</w:t>
            </w:r>
            <w:r>
              <w:rPr>
                <w:rFonts w:hint="eastAsia" w:ascii="宋体"/>
                <w:color w:val="auto"/>
                <w:szCs w:val="21"/>
                <w:highlight w:val="none"/>
                <w:lang w:val="en-US" w:eastAsia="zh-CN"/>
              </w:rPr>
              <w:t>+留学生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二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学缘</w:t>
            </w:r>
          </w:p>
        </w:tc>
        <w:tc>
          <w:tcPr>
            <w:tcW w:w="645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napToGrid w:val="0"/>
              <w:jc w:val="left"/>
              <w:rPr>
                <w:rFonts w:hint="default" w:ascii="宋体" w:eastAsia="宋体" w:cs="宋体"/>
                <w:color w:val="auto"/>
                <w:spacing w:val="-4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指教职工中最终学位在本校取得和在国内外其他高校（或授予单位）取得的情况。其中，本校是指最终学位是在本校取得的；外校（境内）指最终学位是在境内其他学校取得的；外校（境内）值最终学位是在境外（国外及港、澳、台）学校取得的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三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、四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专任教师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指具有教师资格证、专职从事教学工作的、只属于教学单位的人员，此处统计时不包括直属医院具有医师职称的医生。跨专业教师只统计一次，不得重复统计。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表四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生师比</w:t>
            </w:r>
          </w:p>
        </w:tc>
        <w:tc>
          <w:tcPr>
            <w:tcW w:w="645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napToGrid w:val="0"/>
              <w:jc w:val="left"/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生师比=折合在校生数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/</w:t>
            </w: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教师总数。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分专业生师比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0" w:hanging="1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分专业生师比=分专业在校本科生数/分专业教师总数。分专业教师总数=分专业专任教师数+聘请校外教师数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 w:eastAsia="zh-CN"/>
              </w:rPr>
              <w:t>*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0.5。分专业专任教师指具有教师资格、主要从事本专业教学工作的人员。单名教师最多归属一个专业，参与多专业教学的教师不得在多专业中重复计算。对于按专业类招生或未将教师分到专业的学校专业，分专业生师比暂时按照所在专业类生师比计。专业类生师比=专业类内所有专业在校本科生数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 w:eastAsia="zh-CN"/>
              </w:rPr>
              <w:t>/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专业类教师总数。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教师总数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0" w:hanging="1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教师总数＝专任教师数＋外聘教师数×0.5。</w:t>
            </w: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聘请本校退休教师应归为外聘教师。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一、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四</w:t>
            </w:r>
            <w:r>
              <w:rPr>
                <w:rFonts w:hint="eastAsia" w:ascii="宋体"/>
                <w:color w:val="auto"/>
                <w:szCs w:val="21"/>
                <w:highlight w:val="none"/>
                <w:lang w:val="en-US" w:eastAsia="zh-CN"/>
              </w:rPr>
              <w:t>、五、六、七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折合在校生数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折合在校生数=普通本科生数+专科（高职）生数+硕士生数(全日制+非全日制)*1.5+博士生数*2+留学生本科数*1+留学生硕士生数*1.5+留学生博士生数*2+预科生数+进修生数+成人脱产班学生数+夜大(业余)学生数*0.3+函授生数*0.1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??????"/>
                <w:color w:val="auto"/>
                <w:kern w:val="0"/>
                <w:szCs w:val="21"/>
                <w:highlight w:val="none"/>
                <w:lang w:val="zh-CN"/>
              </w:rPr>
              <w:t>（其中，留学生也分别按照本科、硕士、博士分别乘以相应的系数）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五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教学科研仪器 设备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使用学校预算经费、科研经费、基建经费、校内部门自筹经费购买或接受捐赠的耐用时间在一年以上，单价800元以上的教学科研仪器设备，不含已报废设备。生均教学科研仪器设备值=教学科研仪器设备总值/折合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六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纸质图书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指学校图书馆及各院系、所资料室拥有的正式出版书籍的册数及已装订成册的过刊，每册过刊算一册书。生均纸质图书=馆藏纸质图书/折合在校生数。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纸质期刊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指学校图书馆及各院系、所资料室订阅的当年正式出版的期刊，不包含虽在架上但非当年出版的期刊。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电子图书、期刊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指学校图书馆及各院系、所资料室拥有的正式出版的各类光盘、软盘、数据库等电子图书、期刊。生均电子图书、期刊=电子图书、期刊/折合在校生数。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表七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教学行政用房 面积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教学行政用房面积=教学及辅助用房面积+行政办公用房面积，生均教学行政用房面积=教学行政用房面积/全日制在校生数。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实验室面积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（含实习实训及附属用房）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  <w:t>指面向本科生开放的教学实验室或中心、供教学用的各类实习、实训场所及附属用房。教学实验室或中心名称，以学校正式批准的设立的名称为准。实验室实习场所及附属用房包括基础课、专业基础课、专业课、自选科研项目所需的各种实验室、实习工厂农场、牧场、林场、实验室的附属用房（准备室、天平室、仪器室、标本室、模型室、陈列室、动物室、充电室、空调室、更衣室、实验人员办公室等）、全校公用的计算中心等。个别学校设立的分析测试中心应专案报批，不在本指标之内。专职科研机构的实验室、资料室、生产性工厂农场林场、医学院校的附属医院、师范院校的附中附小幼儿园等均不在本指标之内。实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验室（含实习实训及附属用房）须具有本校产权。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生均实验室面积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生均实验室面积=实验室面积/全日制在校生数。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八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本科教学日常运行支出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参照《教育部办公厅关于开展普通高等学校本科教学工作合格评估的通知》教高厅〔2011〕2号文件，是指学校开展普通本科教学活动及其辅助活动发生的支出，仅指教学基本支出中的商品和服务支出(302类)(不含教学专项拨款支出)，具体包括：教学教辅部门发生的办公费(含考试考务费、手续费等)、印刷费、咨询费、邮电费、交通费、差旅费、出国费、维修(护)费、租赁费、会议费、培训费、专用材料费(含体育维持费等)、劳务费、其他教学商品和服务支出(含学生活动费、教学咨询研究机构会员费、教学改革科研业务费、委托业务费等)，取会计决算数（与表八数据不得重复统计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九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本科专项教学经费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自然年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内学校立项用于本科教学改革和建设的专项经费总额（与表七数据不得重复统计）。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十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本科实验经费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自然年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内学校用于实验教学运行及维护经费，生均本科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实验经费=本科实验经费/本科生数。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本科实习经费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自然年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内学校用于本科培养方案内的实习环节支出经费，生均本科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实习经费=本科实习经费/本科生数。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十一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教授总数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指本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在编的具有教授或相当职称的专任教师人数。（只统计正教授，不含外聘教授）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教授应授课   人数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指本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在编在岗的具有教授或相当职称的专任教师人数，不包含在外上学、研修，病休等教师。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教授实际授课人数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指本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在编在岗的具有教授或相当职称，为本科生讲授一门及以上课程的专任教师人数，不含讲座、指导毕业设计（论文）及实践教学的教师。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十二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本科课程    总门数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内实际开设的本科培养计划内课程总数，跨学期讲授的同一门课程计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门。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本科课程    总门次数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一学年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内实际开设的本科培养计划内课程总门次数（累计次数总和）。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教授授本科  课程门次数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教授参与授课的课程门次数。一门课程的全部课时均由教授授课，记为1，有多名教师共同承担的，按教授实际承担课时比例计算。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三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学科门类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按照《普通高等学校本科专业目录（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2012年）》12个学科门类填写。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总学分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指同一学科门类中各专业平均学分。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实践教学学分、选修课学分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指同一学科门类中各专业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教学计划实际执行</w:t>
            </w:r>
            <w:r>
              <w:rPr>
                <w:rFonts w:hint="eastAsia"/>
                <w:color w:val="auto"/>
                <w:highlight w:val="none"/>
              </w:rPr>
              <w:t>平均实践教学学分、选修课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五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、十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六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毕业率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毕业率=应届毕业生数/预计应届毕业生数×100%，按专业填报。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学位授予率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学位授予率=授予学位人数/应届毕业生数×100%，按专业填报。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初次就业率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初次就业率=应届毕业生的就业人数/应届毕业生数×100%，按专业填报，统计初次就业率，时间截至20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月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1日。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攻读研究生   比例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right="44" w:rightChars="21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应届毕业生的研究生录取人数/应届毕业生数×100%，按专业填报。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八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毕业生大学四、六级英语通过率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统计不含小语种及外语、艺术、体育等专业学生。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其他注意事项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专业名称、专业代码、授予学位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按照教育部201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</w:rPr>
              <w:t>2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年本科专业目录填写。</w:t>
            </w:r>
          </w:p>
        </w:tc>
      </w:tr>
    </w:tbl>
    <w:p>
      <w:pPr>
        <w:jc w:val="center"/>
        <w:rPr>
          <w:rFonts w:hint="eastAsia" w:ascii="楷体" w:eastAsia="楷体"/>
          <w:color w:val="auto"/>
          <w:sz w:val="20"/>
          <w:szCs w:val="20"/>
          <w:highlight w:val="none"/>
        </w:rPr>
      </w:pPr>
    </w:p>
    <w:p>
      <w:pPr>
        <w:jc w:val="center"/>
        <w:rPr>
          <w:rFonts w:hint="eastAsia" w:ascii="楷体" w:eastAsia="楷体"/>
          <w:color w:val="auto"/>
          <w:highlight w:val="none"/>
        </w:rPr>
      </w:pPr>
    </w:p>
    <w:p>
      <w:pPr>
        <w:jc w:val="center"/>
        <w:rPr>
          <w:rFonts w:hint="eastAsia" w:ascii="楷体" w:eastAsia="楷体"/>
          <w:color w:val="auto"/>
          <w:highlight w:val="none"/>
        </w:rPr>
      </w:pPr>
    </w:p>
    <w:p>
      <w:pPr>
        <w:jc w:val="center"/>
        <w:rPr>
          <w:rFonts w:hint="eastAsia" w:ascii="楷体" w:eastAsia="楷体"/>
          <w:color w:val="auto"/>
          <w:highlight w:val="none"/>
        </w:rPr>
      </w:pPr>
    </w:p>
    <w:p>
      <w:pPr>
        <w:autoSpaceDE w:val="0"/>
        <w:autoSpaceDN w:val="0"/>
        <w:adjustRightInd w:val="0"/>
        <w:snapToGrid w:val="0"/>
        <w:spacing w:line="520" w:lineRule="atLeast"/>
        <w:jc w:val="center"/>
        <w:rPr>
          <w:rFonts w:hint="eastAsia" w:ascii="宋体" w:cs="宋体"/>
          <w:b/>
          <w:color w:val="auto"/>
          <w:kern w:val="0"/>
          <w:sz w:val="32"/>
          <w:szCs w:val="32"/>
          <w:highlight w:val="none"/>
        </w:rPr>
      </w:pPr>
    </w:p>
    <w:p>
      <w:pPr>
        <w:rPr>
          <w:rFonts w:hint="eastAsia" w:eastAsia="宋体"/>
          <w:lang w:eastAsia="zh-CN"/>
        </w:rPr>
      </w:pPr>
    </w:p>
    <w:sectPr>
      <w:pgSz w:w="12240" w:h="15840"/>
      <w:pgMar w:top="1701" w:right="1418" w:bottom="1418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????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  <w:tab w:val="clear" w:pos="8306"/>
      </w:tabs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17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D748EF"/>
    <w:multiLevelType w:val="singleLevel"/>
    <w:tmpl w:val="DED748E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6EF2D9"/>
    <w:multiLevelType w:val="singleLevel"/>
    <w:tmpl w:val="546EF2D9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abstractNum w:abstractNumId="2">
    <w:nsid w:val="616B384A"/>
    <w:multiLevelType w:val="singleLevel"/>
    <w:tmpl w:val="616B384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6B7BBB"/>
    <w:rsid w:val="10DC657F"/>
    <w:rsid w:val="24EC1FB0"/>
    <w:rsid w:val="25F76A96"/>
    <w:rsid w:val="7199297E"/>
    <w:rsid w:val="744159FC"/>
    <w:rsid w:val="7A17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HP-111</dc:creator>
  <cp:lastModifiedBy>潤雨</cp:lastModifiedBy>
  <dcterms:modified xsi:type="dcterms:W3CDTF">2020-10-02T01:49:47Z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